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71F3"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FORM 5.2B- REPORTING EMERGENCY USE OF A TEST DEVICE</w:t>
      </w:r>
    </w:p>
    <w:p w14:paraId="792B56F5"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SPECIFIC INFORMATION</w:t>
      </w:r>
    </w:p>
    <w:p w14:paraId="0EB3F37C"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Regulations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pertaining</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(investigational</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drug,</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biologic</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device)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 xml:space="preserve">are those involving greater than greater than minimal risk as may be determined by the </w:t>
      </w:r>
      <w:r>
        <w:rPr>
          <w:rFonts w:ascii="Cambria" w:eastAsia="Times New Roman" w:hAnsi="Cambria" w:cstheme="minorHAnsi"/>
          <w:w w:val="105"/>
          <w:szCs w:val="24"/>
          <w:lang w:bidi="en-US"/>
        </w:rPr>
        <w:t>IDI REC</w:t>
      </w:r>
      <w:r w:rsidRPr="006B143B">
        <w:rPr>
          <w:rFonts w:ascii="Cambria" w:eastAsia="Times New Roman" w:hAnsi="Cambria" w:cstheme="minorHAnsi"/>
          <w:w w:val="105"/>
          <w:szCs w:val="24"/>
          <w:lang w:bidi="en-US"/>
        </w:rPr>
        <w:t>. Emergency</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life-threatening</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condition</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considered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 xml:space="preserve">nevertheless, it is under the purview of the </w:t>
      </w:r>
      <w:r>
        <w:rPr>
          <w:rFonts w:ascii="Cambria" w:eastAsia="Times New Roman" w:hAnsi="Cambria" w:cstheme="minorHAnsi"/>
          <w:w w:val="105"/>
          <w:szCs w:val="24"/>
          <w:lang w:bidi="en-US"/>
        </w:rPr>
        <w:t>IDI REC</w:t>
      </w:r>
      <w:r w:rsidRPr="006B143B">
        <w:rPr>
          <w:rFonts w:ascii="Cambria" w:eastAsia="Times New Roman" w:hAnsi="Cambria" w:cstheme="minorHAnsi"/>
          <w:w w:val="105"/>
          <w:szCs w:val="24"/>
          <w:lang w:bidi="en-US"/>
        </w:rPr>
        <w:t>, because the use of an investigational test article not yet approved by the NDA is involved. The investigational drug or biologic must have received NDA approval, or the investigational device have received Investigational Device Exemption from the NDA for clinical testing, to be eligible for use in an emergency setting. Usually, IND or one that has received exemption from NDA, acquisition is conducted by the manufacturer. If approval by the NDA</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available,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Investigator</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must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contact</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NDA</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on</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an</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basis.</w:t>
      </w:r>
    </w:p>
    <w:p w14:paraId="2890A6E7"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For emergency use of a test article, all of the following criteria must be met:</w:t>
      </w:r>
    </w:p>
    <w:p w14:paraId="505FB100" w14:textId="77777777" w:rsidR="00FE04E8" w:rsidRPr="006B143B" w:rsidRDefault="00FE04E8" w:rsidP="00FE04E8">
      <w:pPr>
        <w:widowControl w:val="0"/>
        <w:numPr>
          <w:ilvl w:val="0"/>
          <w:numId w:val="3"/>
        </w:numPr>
        <w:tabs>
          <w:tab w:val="left" w:pos="659"/>
        </w:tabs>
        <w:autoSpaceDE w:val="0"/>
        <w:autoSpaceDN w:val="0"/>
        <w:spacing w:line="24" w:lineRule="atLeast"/>
        <w:ind w:left="618" w:hanging="255"/>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facing</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life-threatening</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condition,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which</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there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no</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conventional</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treatment,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or conventional treatments have</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failed.</w:t>
      </w:r>
    </w:p>
    <w:p w14:paraId="021638FA" w14:textId="77777777" w:rsidR="00FE04E8" w:rsidRPr="006B143B" w:rsidRDefault="00FE04E8" w:rsidP="00FE04E8">
      <w:pPr>
        <w:widowControl w:val="0"/>
        <w:numPr>
          <w:ilvl w:val="0"/>
          <w:numId w:val="3"/>
        </w:numPr>
        <w:tabs>
          <w:tab w:val="left" w:pos="660"/>
        </w:tabs>
        <w:autoSpaceDE w:val="0"/>
        <w:autoSpaceDN w:val="0"/>
        <w:spacing w:line="24" w:lineRule="atLeast"/>
        <w:ind w:left="618" w:hanging="255"/>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physician</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has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access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believes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that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there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reasonable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likelihood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that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 xml:space="preserve">the article will help save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’s life, and that there is no approved treatment that has equal or greater likelihood of helping the</w:t>
      </w:r>
      <w:r w:rsidRPr="006B143B">
        <w:rPr>
          <w:rFonts w:ascii="Cambria" w:eastAsia="Times New Roman" w:hAnsi="Cambria" w:cstheme="minorHAnsi"/>
          <w:spacing w:val="-11"/>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w:t>
      </w:r>
    </w:p>
    <w:p w14:paraId="2994787B" w14:textId="77777777" w:rsidR="00FE04E8" w:rsidRPr="006B143B" w:rsidRDefault="00FE04E8" w:rsidP="00FE04E8">
      <w:pPr>
        <w:widowControl w:val="0"/>
        <w:numPr>
          <w:ilvl w:val="0"/>
          <w:numId w:val="3"/>
        </w:numPr>
        <w:tabs>
          <w:tab w:val="left" w:pos="659"/>
        </w:tabs>
        <w:autoSpaceDE w:val="0"/>
        <w:autoSpaceDN w:val="0"/>
        <w:spacing w:line="24" w:lineRule="atLeast"/>
        <w:ind w:left="618" w:hanging="255"/>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Comprehensive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written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executed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prior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initiation</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administration of the test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article.</w:t>
      </w:r>
    </w:p>
    <w:p w14:paraId="3FDEE03A"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Certain emergency circumstances may not permit the execution of the standard informed consent process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prior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administration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32"/>
          <w:w w:val="105"/>
          <w:szCs w:val="24"/>
          <w:lang w:bidi="en-US"/>
        </w:rPr>
        <w:t xml:space="preserve"> </w:t>
      </w:r>
      <w:r w:rsidRPr="006B143B">
        <w:rPr>
          <w:rFonts w:ascii="Cambria" w:eastAsia="Times New Roman" w:hAnsi="Cambria" w:cstheme="minorHAnsi"/>
          <w:w w:val="105"/>
          <w:szCs w:val="24"/>
          <w:lang w:bidi="en-US"/>
        </w:rPr>
        <w:t>National</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regulations</w:t>
      </w:r>
      <w:r>
        <w:rPr>
          <w:rFonts w:ascii="Cambria" w:eastAsia="Times New Roman" w:hAnsi="Cambria" w:cstheme="minorHAnsi"/>
          <w:w w:val="105"/>
          <w:szCs w:val="24"/>
          <w:lang w:bidi="en-US"/>
        </w:rPr>
        <w:t xml:space="preserve"> and guidelines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provide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exemption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from</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 xml:space="preserve">the informed consent requirement, if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 xml:space="preserve"> is unable to provide effective consent, and there is insufficient time in which to obtain consent from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’s legal representative. Under these circumstances,</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opinion</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another</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impartial</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physician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required</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on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expected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benefit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from</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the use the test article; please refer to the “Definitions and interpretations of the NDA and the National Guidelines for Research Involving Humans as Research Participants on Emergency Use of an Investigational</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article.</w:t>
      </w:r>
    </w:p>
    <w:p w14:paraId="644CDDDF"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The test article is expected to be administered to a single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 xml:space="preserve"> as a single course (may involve multiple dosing to achieve maximal efficacy).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 xml:space="preserve"> to receive the test article should not be enrolled in a research study related to the test article. If subsequent use of the test article is contemplated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same</w:t>
      </w:r>
      <w:r w:rsidRPr="006B143B">
        <w:rPr>
          <w:rFonts w:ascii="Cambria" w:eastAsia="Times New Roman" w:hAnsi="Cambria" w:cstheme="minorHAnsi"/>
          <w:spacing w:val="-7"/>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others,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new</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project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application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IDI REC is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required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in advance of that</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use.</w:t>
      </w:r>
    </w:p>
    <w:p w14:paraId="73E894D1" w14:textId="77777777" w:rsidR="00FE04E8" w:rsidRPr="00D62155" w:rsidRDefault="00FE04E8" w:rsidP="00FE04E8">
      <w:pPr>
        <w:widowControl w:val="0"/>
        <w:autoSpaceDE w:val="0"/>
        <w:autoSpaceDN w:val="0"/>
        <w:spacing w:line="24" w:lineRule="atLeast"/>
        <w:jc w:val="both"/>
        <w:rPr>
          <w:rFonts w:ascii="Cambria" w:eastAsia="Times New Roman" w:hAnsi="Cambria" w:cstheme="minorHAnsi"/>
          <w:i/>
          <w:szCs w:val="24"/>
          <w:lang w:bidi="en-US"/>
        </w:rPr>
      </w:pPr>
      <w:r w:rsidRPr="006B143B">
        <w:rPr>
          <w:rFonts w:ascii="Cambria" w:eastAsia="Times New Roman" w:hAnsi="Cambria" w:cstheme="minorHAnsi"/>
          <w:w w:val="105"/>
          <w:szCs w:val="24"/>
          <w:lang w:bidi="en-US"/>
        </w:rPr>
        <w:t xml:space="preserve">The use of a test article in an investigation </w:t>
      </w:r>
      <w:r w:rsidRPr="006B143B">
        <w:rPr>
          <w:rFonts w:ascii="Cambria" w:eastAsia="Times New Roman" w:hAnsi="Cambria" w:cstheme="minorHAnsi"/>
          <w:w w:val="105"/>
          <w:szCs w:val="24"/>
          <w:u w:val="single"/>
          <w:lang w:bidi="en-US"/>
        </w:rPr>
        <w:t>designed</w:t>
      </w:r>
      <w:r w:rsidRPr="006B143B">
        <w:rPr>
          <w:rFonts w:ascii="Cambria" w:eastAsia="Times New Roman" w:hAnsi="Cambria" w:cstheme="minorHAnsi"/>
          <w:w w:val="105"/>
          <w:szCs w:val="24"/>
          <w:lang w:bidi="en-US"/>
        </w:rPr>
        <w:t xml:space="preserve"> to be conducted under emergency conditions </w:t>
      </w:r>
      <w:r w:rsidRPr="006B143B">
        <w:rPr>
          <w:rFonts w:ascii="Cambria" w:eastAsia="Times New Roman" w:hAnsi="Cambria" w:cstheme="minorHAnsi"/>
          <w:i/>
          <w:w w:val="105"/>
          <w:szCs w:val="24"/>
          <w:lang w:bidi="en-US"/>
        </w:rPr>
        <w:t>(e.g.</w:t>
      </w:r>
      <w:r>
        <w:rPr>
          <w:rFonts w:ascii="Cambria" w:eastAsia="Times New Roman" w:hAnsi="Cambria" w:cstheme="minorHAnsi"/>
          <w:i/>
          <w:szCs w:val="24"/>
          <w:lang w:bidi="en-US"/>
        </w:rPr>
        <w:t xml:space="preserve"> </w:t>
      </w:r>
      <w:r w:rsidRPr="006B143B">
        <w:rPr>
          <w:rFonts w:ascii="Cambria" w:eastAsia="Times New Roman" w:hAnsi="Cambria" w:cstheme="minorHAnsi"/>
          <w:w w:val="105"/>
          <w:szCs w:val="24"/>
          <w:lang w:bidi="en-US"/>
        </w:rPr>
        <w:t>emergency room research) usually does not qualify for the emergency use exemption.</w:t>
      </w:r>
    </w:p>
    <w:p w14:paraId="3CA209D7"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defined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human</w:t>
      </w:r>
      <w:r w:rsidRPr="006B143B">
        <w:rPr>
          <w:rFonts w:ascii="Cambria" w:eastAsia="Times New Roman" w:hAnsi="Cambria" w:cstheme="minorHAnsi"/>
          <w:spacing w:val="-8"/>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life-threatening</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 xml:space="preserve">situation, in which no standard acceptable treatment is available, and in which there is not sufficient time to obtain REC approval for the use. The Investigator </w:t>
      </w:r>
      <w:r w:rsidRPr="006B143B">
        <w:rPr>
          <w:rFonts w:ascii="Cambria" w:eastAsia="Times New Roman" w:hAnsi="Cambria" w:cstheme="minorHAnsi"/>
          <w:w w:val="105"/>
          <w:szCs w:val="24"/>
          <w:lang w:bidi="en-US"/>
        </w:rPr>
        <w:lastRenderedPageBreak/>
        <w:t>is still required to obtain informed consent under these</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circumstances.</w:t>
      </w:r>
    </w:p>
    <w:p w14:paraId="2F6056F2"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National Guidelines for Research Involving Humans as Research Participants exempts from REC review the emergency use of a test article so long as the emergency use is reported to the REC within five working days of its occurrence. Any subsequent use of the test article is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 xml:space="preserve"> to REC review. "Subsequent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means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any</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that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occurs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after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its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initial</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When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an IDI REC receives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report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clinical</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Investigator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IDI REC must</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examine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each case to assure itself and the institution that the emergency use was</w:t>
      </w:r>
      <w:r w:rsidRPr="006B143B">
        <w:rPr>
          <w:rFonts w:ascii="Cambria" w:eastAsia="Times New Roman" w:hAnsi="Cambria" w:cstheme="minorHAnsi"/>
          <w:spacing w:val="-34"/>
          <w:w w:val="105"/>
          <w:szCs w:val="24"/>
          <w:lang w:bidi="en-US"/>
        </w:rPr>
        <w:t xml:space="preserve"> </w:t>
      </w:r>
      <w:r w:rsidRPr="006B143B">
        <w:rPr>
          <w:rFonts w:ascii="Cambria" w:eastAsia="Times New Roman" w:hAnsi="Cambria" w:cstheme="minorHAnsi"/>
          <w:w w:val="105"/>
          <w:szCs w:val="24"/>
          <w:lang w:bidi="en-US"/>
        </w:rPr>
        <w:t>justified.</w:t>
      </w:r>
    </w:p>
    <w:p w14:paraId="1DF45397"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Although exemption from REC review is designed to permit only a single emergency use of a test article for the treatment of one patient by one physician within an institution, the regulation is not intended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limit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authority</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physician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provide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care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life-threatening</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situation. Should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situation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arise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which</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would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require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second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patient, either by the same or a second physician, subsequent emergency use should not be withheld for the purpose of gaining IDI REC approval If it appears probable that similar emergencies will require subsequent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institution,</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every</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effort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should</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made</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either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sign</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 Sponsor's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protocol</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develop</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protocol</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future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institution.</w:t>
      </w:r>
    </w:p>
    <w:p w14:paraId="41377AE2"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Either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these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protocols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would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need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prospectively</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reviewed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approved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IDI REC for future use of the test</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article.</w:t>
      </w:r>
    </w:p>
    <w:p w14:paraId="0871FE55"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emergency</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circumstances,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may</w:t>
      </w:r>
      <w:r w:rsidRPr="006B143B">
        <w:rPr>
          <w:rFonts w:ascii="Cambria" w:eastAsia="Times New Roman" w:hAnsi="Cambria" w:cstheme="minorHAnsi"/>
          <w:spacing w:val="-6"/>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feasible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obtain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prior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using</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test article. The regulations therefore provide an exemption from the informed consent requirement for such situations. Emergencies qualifying for this exemption are defined</w:t>
      </w:r>
      <w:r w:rsidRPr="006B143B">
        <w:rPr>
          <w:rFonts w:ascii="Cambria" w:eastAsia="Times New Roman" w:hAnsi="Cambria" w:cstheme="minorHAnsi"/>
          <w:spacing w:val="-31"/>
          <w:w w:val="105"/>
          <w:szCs w:val="24"/>
          <w:lang w:bidi="en-US"/>
        </w:rPr>
        <w:t xml:space="preserve"> </w:t>
      </w:r>
      <w:r w:rsidRPr="006B143B">
        <w:rPr>
          <w:rFonts w:ascii="Cambria" w:eastAsia="Times New Roman" w:hAnsi="Cambria" w:cstheme="minorHAnsi"/>
          <w:w w:val="105"/>
          <w:szCs w:val="24"/>
          <w:lang w:bidi="en-US"/>
        </w:rPr>
        <w:t>as:</w:t>
      </w:r>
    </w:p>
    <w:p w14:paraId="1836A845" w14:textId="77777777" w:rsidR="00FE04E8" w:rsidRPr="006B143B" w:rsidRDefault="00FE04E8" w:rsidP="00FE04E8">
      <w:pPr>
        <w:widowControl w:val="0"/>
        <w:numPr>
          <w:ilvl w:val="1"/>
          <w:numId w:val="3"/>
        </w:numPr>
        <w:tabs>
          <w:tab w:val="left" w:pos="960"/>
        </w:tabs>
        <w:autoSpaceDE w:val="0"/>
        <w:autoSpaceDN w:val="0"/>
        <w:spacing w:line="24" w:lineRule="atLeast"/>
        <w:ind w:left="70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life-threatening situations necessitating use of the test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article;</w:t>
      </w:r>
    </w:p>
    <w:p w14:paraId="03E22B0C" w14:textId="77777777" w:rsidR="00FE04E8" w:rsidRPr="006B143B" w:rsidRDefault="00FE04E8" w:rsidP="00FE04E8">
      <w:pPr>
        <w:widowControl w:val="0"/>
        <w:numPr>
          <w:ilvl w:val="1"/>
          <w:numId w:val="3"/>
        </w:numPr>
        <w:tabs>
          <w:tab w:val="left" w:pos="960"/>
        </w:tabs>
        <w:autoSpaceDE w:val="0"/>
        <w:autoSpaceDN w:val="0"/>
        <w:spacing w:line="24" w:lineRule="atLeast"/>
        <w:ind w:left="70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 xml:space="preserve">where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 xml:space="preserve"> is unable to provide effective</w:t>
      </w:r>
      <w:r w:rsidRPr="006B143B">
        <w:rPr>
          <w:rFonts w:ascii="Cambria" w:eastAsia="Times New Roman" w:hAnsi="Cambria" w:cstheme="minorHAnsi"/>
          <w:spacing w:val="-18"/>
          <w:w w:val="105"/>
          <w:szCs w:val="24"/>
          <w:lang w:bidi="en-US"/>
        </w:rPr>
        <w:t xml:space="preserve"> </w:t>
      </w:r>
      <w:r w:rsidRPr="006B143B">
        <w:rPr>
          <w:rFonts w:ascii="Cambria" w:eastAsia="Times New Roman" w:hAnsi="Cambria" w:cstheme="minorHAnsi"/>
          <w:w w:val="105"/>
          <w:szCs w:val="24"/>
          <w:lang w:bidi="en-US"/>
        </w:rPr>
        <w:t>consent;</w:t>
      </w:r>
    </w:p>
    <w:p w14:paraId="169A25E2" w14:textId="77777777" w:rsidR="00FE04E8" w:rsidRPr="006B143B" w:rsidRDefault="00FE04E8" w:rsidP="00FE04E8">
      <w:pPr>
        <w:widowControl w:val="0"/>
        <w:numPr>
          <w:ilvl w:val="1"/>
          <w:numId w:val="3"/>
        </w:numPr>
        <w:tabs>
          <w:tab w:val="left" w:pos="960"/>
        </w:tabs>
        <w:autoSpaceDE w:val="0"/>
        <w:autoSpaceDN w:val="0"/>
        <w:spacing w:line="24" w:lineRule="atLeast"/>
        <w:ind w:left="70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there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insufficient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time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which</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obtain</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from</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4"/>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's</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legal</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representative;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and</w:t>
      </w:r>
    </w:p>
    <w:p w14:paraId="32ABFD42" w14:textId="77777777" w:rsidR="00FE04E8" w:rsidRPr="006B143B" w:rsidRDefault="00FE04E8" w:rsidP="00FE04E8">
      <w:pPr>
        <w:widowControl w:val="0"/>
        <w:numPr>
          <w:ilvl w:val="1"/>
          <w:numId w:val="3"/>
        </w:numPr>
        <w:tabs>
          <w:tab w:val="left" w:pos="960"/>
        </w:tabs>
        <w:autoSpaceDE w:val="0"/>
        <w:autoSpaceDN w:val="0"/>
        <w:spacing w:line="24" w:lineRule="atLeast"/>
        <w:ind w:left="702"/>
        <w:jc w:val="both"/>
        <w:rPr>
          <w:rFonts w:ascii="Cambria" w:eastAsia="Times New Roman" w:hAnsi="Cambria" w:cstheme="minorHAnsi"/>
          <w:szCs w:val="24"/>
          <w:lang w:bidi="en-US"/>
        </w:rPr>
      </w:pPr>
      <w:proofErr w:type="gramStart"/>
      <w:r w:rsidRPr="006B143B">
        <w:rPr>
          <w:rFonts w:ascii="Cambria" w:eastAsia="Times New Roman" w:hAnsi="Cambria" w:cstheme="minorHAnsi"/>
          <w:w w:val="105"/>
          <w:szCs w:val="24"/>
          <w:lang w:bidi="en-US"/>
        </w:rPr>
        <w:t>there</w:t>
      </w:r>
      <w:proofErr w:type="gramEnd"/>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no</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available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alternative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method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approved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generally</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recognized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therapy</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equal</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 xml:space="preserve">or greater likelihood of saving the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's life (Section 4.5.3 b) of the National Guidelines for Research Involving Humans as Research</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Participants).</w:t>
      </w:r>
    </w:p>
    <w:p w14:paraId="0B1FA2A0"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w w:val="105"/>
          <w:szCs w:val="24"/>
          <w:lang w:bidi="en-US"/>
        </w:rPr>
        <w:t>Special procedures for documenting the unfeasibility of obtaining consent apply as follows:</w:t>
      </w:r>
    </w:p>
    <w:p w14:paraId="57AE78D7" w14:textId="77777777" w:rsidR="00FE04E8" w:rsidRPr="006B143B" w:rsidRDefault="00FE04E8" w:rsidP="00FE04E8">
      <w:pPr>
        <w:widowControl w:val="0"/>
        <w:numPr>
          <w:ilvl w:val="0"/>
          <w:numId w:val="2"/>
        </w:numPr>
        <w:tabs>
          <w:tab w:val="left" w:pos="960"/>
        </w:tabs>
        <w:autoSpaceDE w:val="0"/>
        <w:autoSpaceDN w:val="0"/>
        <w:spacing w:line="24" w:lineRule="atLeast"/>
        <w:ind w:left="70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 Investigator and another physician, who is not participating in the clinical investigation, must certify in writing the existence of all four conditions listed above before use of the test article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4.5.3</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National</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Guidelines</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for</w:t>
      </w:r>
      <w:r w:rsidRPr="006B143B">
        <w:rPr>
          <w:rFonts w:ascii="Cambria" w:eastAsia="Times New Roman" w:hAnsi="Cambria" w:cstheme="minorHAnsi"/>
          <w:spacing w:val="-12"/>
          <w:w w:val="105"/>
          <w:szCs w:val="24"/>
          <w:lang w:bidi="en-US"/>
        </w:rPr>
        <w:t xml:space="preserve"> </w:t>
      </w:r>
      <w:r w:rsidRPr="006B143B">
        <w:rPr>
          <w:rFonts w:ascii="Cambria" w:eastAsia="Times New Roman" w:hAnsi="Cambria" w:cstheme="minorHAnsi"/>
          <w:w w:val="105"/>
          <w:szCs w:val="24"/>
          <w:lang w:bidi="en-US"/>
        </w:rPr>
        <w:t>Research</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Involving</w:t>
      </w:r>
      <w:r w:rsidRPr="006B143B">
        <w:rPr>
          <w:rFonts w:ascii="Cambria" w:eastAsia="Times New Roman" w:hAnsi="Cambria" w:cstheme="minorHAnsi"/>
          <w:spacing w:val="-13"/>
          <w:w w:val="105"/>
          <w:szCs w:val="24"/>
          <w:lang w:bidi="en-US"/>
        </w:rPr>
        <w:t xml:space="preserve"> </w:t>
      </w:r>
      <w:r w:rsidRPr="006B143B">
        <w:rPr>
          <w:rFonts w:ascii="Cambria" w:eastAsia="Times New Roman" w:hAnsi="Cambria" w:cstheme="minorHAnsi"/>
          <w:w w:val="105"/>
          <w:szCs w:val="24"/>
          <w:lang w:bidi="en-US"/>
        </w:rPr>
        <w:t>Humans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as</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Research Participants].</w:t>
      </w:r>
    </w:p>
    <w:p w14:paraId="5B5EAA18" w14:textId="77777777" w:rsidR="00FE04E8" w:rsidRPr="006B143B" w:rsidRDefault="00FE04E8" w:rsidP="00FE04E8">
      <w:pPr>
        <w:widowControl w:val="0"/>
        <w:numPr>
          <w:ilvl w:val="0"/>
          <w:numId w:val="2"/>
        </w:numPr>
        <w:tabs>
          <w:tab w:val="left" w:pos="960"/>
        </w:tabs>
        <w:autoSpaceDE w:val="0"/>
        <w:autoSpaceDN w:val="0"/>
        <w:spacing w:line="24" w:lineRule="atLeast"/>
        <w:ind w:left="702"/>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If in the Investigator's</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opinion,</w:t>
      </w:r>
    </w:p>
    <w:p w14:paraId="59B03A53" w14:textId="77777777" w:rsidR="00FE04E8" w:rsidRPr="006B143B" w:rsidRDefault="00FE04E8" w:rsidP="00FE04E8">
      <w:pPr>
        <w:widowControl w:val="0"/>
        <w:numPr>
          <w:ilvl w:val="1"/>
          <w:numId w:val="2"/>
        </w:numPr>
        <w:tabs>
          <w:tab w:val="left" w:pos="1469"/>
        </w:tabs>
        <w:autoSpaceDE w:val="0"/>
        <w:autoSpaceDN w:val="0"/>
        <w:spacing w:line="24" w:lineRule="atLeast"/>
        <w:ind w:left="1569"/>
        <w:jc w:val="both"/>
        <w:rPr>
          <w:rFonts w:ascii="Cambria" w:eastAsia="Times New Roman" w:hAnsi="Cambria" w:cstheme="minorHAnsi"/>
          <w:b/>
          <w:szCs w:val="24"/>
          <w:lang w:bidi="en-US"/>
        </w:rPr>
      </w:pPr>
      <w:r w:rsidRPr="006B143B">
        <w:rPr>
          <w:rFonts w:ascii="Cambria" w:eastAsia="Times New Roman" w:hAnsi="Cambria" w:cstheme="minorHAnsi"/>
          <w:w w:val="105"/>
          <w:szCs w:val="24"/>
          <w:lang w:bidi="en-US"/>
        </w:rPr>
        <w:t>immediate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1"/>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necessary</w:t>
      </w:r>
      <w:r w:rsidRPr="006B143B">
        <w:rPr>
          <w:rFonts w:ascii="Cambria" w:eastAsia="Times New Roman" w:hAnsi="Cambria" w:cstheme="minorHAnsi"/>
          <w:spacing w:val="1"/>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save</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life</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3"/>
          <w:w w:val="105"/>
          <w:szCs w:val="24"/>
          <w:lang w:bidi="en-US"/>
        </w:rPr>
        <w:t xml:space="preserve"> </w:t>
      </w:r>
      <w:r>
        <w:rPr>
          <w:rFonts w:ascii="Cambria" w:eastAsia="Times New Roman" w:hAnsi="Cambria" w:cstheme="minorHAnsi"/>
          <w:w w:val="105"/>
          <w:szCs w:val="24"/>
          <w:lang w:bidi="en-US"/>
        </w:rPr>
        <w:t>participant</w:t>
      </w:r>
      <w:r w:rsidRPr="006B143B">
        <w:rPr>
          <w:rFonts w:ascii="Cambria" w:eastAsia="Times New Roman" w:hAnsi="Cambria" w:cstheme="minorHAnsi"/>
          <w:w w:val="105"/>
          <w:szCs w:val="24"/>
          <w:lang w:bidi="en-US"/>
        </w:rPr>
        <w:t>;</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b/>
          <w:w w:val="105"/>
          <w:szCs w:val="24"/>
          <w:lang w:bidi="en-US"/>
        </w:rPr>
        <w:t>and</w:t>
      </w:r>
    </w:p>
    <w:p w14:paraId="58BA79A9" w14:textId="77777777" w:rsidR="00FE04E8" w:rsidRPr="00D62155" w:rsidRDefault="00FE04E8" w:rsidP="00FE04E8">
      <w:pPr>
        <w:widowControl w:val="0"/>
        <w:numPr>
          <w:ilvl w:val="1"/>
          <w:numId w:val="1"/>
        </w:numPr>
        <w:tabs>
          <w:tab w:val="left" w:pos="1469"/>
        </w:tabs>
        <w:autoSpaceDE w:val="0"/>
        <w:autoSpaceDN w:val="0"/>
        <w:spacing w:line="24" w:lineRule="atLeast"/>
        <w:ind w:left="1569"/>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lastRenderedPageBreak/>
        <w:t>there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insufficient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time</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obtain</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informed</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consent</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2"/>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4"/>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5"/>
          <w:w w:val="105"/>
          <w:szCs w:val="24"/>
          <w:lang w:bidi="en-US"/>
        </w:rPr>
        <w:t xml:space="preserve"> </w:t>
      </w:r>
      <w:r w:rsidRPr="006B143B">
        <w:rPr>
          <w:rFonts w:ascii="Cambria" w:eastAsia="Times New Roman" w:hAnsi="Cambria" w:cstheme="minorHAnsi"/>
          <w:w w:val="105"/>
          <w:szCs w:val="24"/>
          <w:lang w:bidi="en-US"/>
        </w:rPr>
        <w:t>required</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3"/>
          <w:w w:val="105"/>
          <w:szCs w:val="24"/>
          <w:lang w:bidi="en-US"/>
        </w:rPr>
        <w:t xml:space="preserve"> </w:t>
      </w:r>
      <w:r w:rsidRPr="006B143B">
        <w:rPr>
          <w:rFonts w:ascii="Cambria" w:eastAsia="Times New Roman" w:hAnsi="Cambria" w:cstheme="minorHAnsi"/>
          <w:w w:val="105"/>
          <w:szCs w:val="24"/>
          <w:lang w:bidi="en-US"/>
        </w:rPr>
        <w:t>Section</w:t>
      </w:r>
      <w:r>
        <w:rPr>
          <w:rFonts w:ascii="Cambria" w:eastAsia="Times New Roman" w:hAnsi="Cambria" w:cstheme="minorHAnsi"/>
          <w:szCs w:val="24"/>
          <w:lang w:bidi="en-US"/>
        </w:rPr>
        <w:t xml:space="preserve"> </w:t>
      </w:r>
      <w:r w:rsidRPr="00D62155">
        <w:rPr>
          <w:rFonts w:ascii="Cambria" w:eastAsia="Times New Roman" w:hAnsi="Cambria" w:cstheme="minorHAnsi"/>
          <w:w w:val="105"/>
          <w:szCs w:val="24"/>
          <w:lang w:bidi="en-US"/>
        </w:rPr>
        <w:t>4.5.3 before using the test article;</w:t>
      </w:r>
    </w:p>
    <w:p w14:paraId="04DA3DBC" w14:textId="77777777" w:rsidR="00FE04E8" w:rsidRPr="006B143B" w:rsidRDefault="00FE04E8" w:rsidP="00FE04E8">
      <w:pPr>
        <w:widowControl w:val="0"/>
        <w:numPr>
          <w:ilvl w:val="1"/>
          <w:numId w:val="1"/>
        </w:numPr>
        <w:tabs>
          <w:tab w:val="left" w:pos="1469"/>
        </w:tabs>
        <w:autoSpaceDE w:val="0"/>
        <w:autoSpaceDN w:val="0"/>
        <w:spacing w:line="24" w:lineRule="atLeast"/>
        <w:ind w:left="1569"/>
        <w:jc w:val="both"/>
        <w:rPr>
          <w:rFonts w:ascii="Cambria" w:eastAsia="Times New Roman" w:hAnsi="Cambria" w:cstheme="minorHAnsi"/>
          <w:szCs w:val="24"/>
          <w:lang w:bidi="en-US"/>
        </w:rPr>
      </w:pPr>
      <w:proofErr w:type="gramStart"/>
      <w:r w:rsidRPr="006B143B">
        <w:rPr>
          <w:rFonts w:ascii="Cambria" w:eastAsia="Times New Roman" w:hAnsi="Cambria" w:cstheme="minorHAnsi"/>
          <w:w w:val="105"/>
          <w:szCs w:val="24"/>
          <w:lang w:bidi="en-US"/>
        </w:rPr>
        <w:t>the</w:t>
      </w:r>
      <w:proofErr w:type="gramEnd"/>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Investigator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7"/>
          <w:w w:val="105"/>
          <w:szCs w:val="24"/>
          <w:lang w:bidi="en-US"/>
        </w:rPr>
        <w:t xml:space="preserve"> </w:t>
      </w:r>
      <w:r w:rsidRPr="006B143B">
        <w:rPr>
          <w:rFonts w:ascii="Cambria" w:eastAsia="Times New Roman" w:hAnsi="Cambria" w:cstheme="minorHAnsi"/>
          <w:w w:val="105"/>
          <w:szCs w:val="24"/>
          <w:lang w:bidi="en-US"/>
        </w:rPr>
        <w:t>make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his</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or</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her</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own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written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determinations,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obtain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written review</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and</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independent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evaluation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physician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who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not</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participating</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clinical investigation</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within</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five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working</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days</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after</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use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of</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test</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article</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4.5.3</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b)].</w:t>
      </w:r>
    </w:p>
    <w:p w14:paraId="437F1A02"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0"/>
          <w:w w:val="105"/>
          <w:szCs w:val="24"/>
          <w:lang w:bidi="en-US"/>
        </w:rPr>
        <w:t xml:space="preserve"> </w:t>
      </w:r>
      <w:r w:rsidRPr="006B143B">
        <w:rPr>
          <w:rFonts w:ascii="Cambria" w:eastAsia="Times New Roman" w:hAnsi="Cambria" w:cstheme="minorHAnsi"/>
          <w:w w:val="105"/>
          <w:szCs w:val="24"/>
          <w:lang w:bidi="en-US"/>
        </w:rPr>
        <w:t>documentation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required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by</w:t>
      </w:r>
      <w:r w:rsidRPr="006B143B">
        <w:rPr>
          <w:rFonts w:ascii="Cambria" w:eastAsia="Times New Roman" w:hAnsi="Cambria" w:cstheme="minorHAnsi"/>
          <w:spacing w:val="-8"/>
          <w:w w:val="105"/>
          <w:szCs w:val="24"/>
          <w:lang w:bidi="en-US"/>
        </w:rPr>
        <w:t xml:space="preserve"> </w:t>
      </w:r>
      <w:r w:rsidRPr="006B143B">
        <w:rPr>
          <w:rFonts w:ascii="Cambria" w:eastAsia="Times New Roman" w:hAnsi="Cambria" w:cstheme="minorHAnsi"/>
          <w:w w:val="105"/>
          <w:szCs w:val="24"/>
          <w:lang w:bidi="en-US"/>
        </w:rPr>
        <w:t>Section</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4.5.3</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must</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be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submitted</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to</w:t>
      </w:r>
      <w:r w:rsidRPr="006B143B">
        <w:rPr>
          <w:rFonts w:ascii="Cambria" w:eastAsia="Times New Roman" w:hAnsi="Cambria" w:cstheme="minorHAnsi"/>
          <w:spacing w:val="-9"/>
          <w:w w:val="105"/>
          <w:szCs w:val="24"/>
          <w:lang w:bidi="en-US"/>
        </w:rPr>
        <w:t xml:space="preserve"> </w:t>
      </w:r>
      <w:r w:rsidRPr="006B143B">
        <w:rPr>
          <w:rFonts w:ascii="Cambria" w:eastAsia="Times New Roman" w:hAnsi="Cambria" w:cstheme="minorHAnsi"/>
          <w:w w:val="105"/>
          <w:szCs w:val="24"/>
          <w:lang w:bidi="en-US"/>
        </w:rPr>
        <w:t>the</w:t>
      </w:r>
      <w:r w:rsidRPr="006B143B">
        <w:rPr>
          <w:rFonts w:ascii="Cambria" w:eastAsia="Times New Roman" w:hAnsi="Cambria" w:cstheme="minorHAnsi"/>
          <w:spacing w:val="-11"/>
          <w:w w:val="105"/>
          <w:szCs w:val="24"/>
          <w:lang w:bidi="en-US"/>
        </w:rPr>
        <w:t xml:space="preserve"> </w:t>
      </w:r>
      <w:r w:rsidRPr="006B143B">
        <w:rPr>
          <w:rFonts w:ascii="Cambria" w:eastAsia="Times New Roman" w:hAnsi="Cambria" w:cstheme="minorHAnsi"/>
          <w:w w:val="105"/>
          <w:szCs w:val="24"/>
          <w:lang w:bidi="en-US"/>
        </w:rPr>
        <w:t xml:space="preserve">IDI REC </w:t>
      </w:r>
      <w:r w:rsidRPr="006B143B">
        <w:rPr>
          <w:rFonts w:ascii="Cambria" w:eastAsia="Times New Roman" w:hAnsi="Cambria" w:cstheme="minorHAnsi"/>
          <w:b/>
          <w:w w:val="105"/>
          <w:szCs w:val="24"/>
          <w:lang w:bidi="en-US"/>
        </w:rPr>
        <w:t>within</w:t>
      </w:r>
      <w:r w:rsidRPr="006B143B">
        <w:rPr>
          <w:rFonts w:ascii="Cambria" w:eastAsia="Times New Roman" w:hAnsi="Cambria" w:cstheme="minorHAnsi"/>
          <w:b/>
          <w:spacing w:val="-9"/>
          <w:w w:val="105"/>
          <w:szCs w:val="24"/>
          <w:lang w:bidi="en-US"/>
        </w:rPr>
        <w:t xml:space="preserve"> </w:t>
      </w:r>
      <w:r w:rsidRPr="006B143B">
        <w:rPr>
          <w:rFonts w:ascii="Cambria" w:eastAsia="Times New Roman" w:hAnsi="Cambria" w:cstheme="minorHAnsi"/>
          <w:b/>
          <w:w w:val="105"/>
          <w:szCs w:val="24"/>
          <w:lang w:bidi="en-US"/>
        </w:rPr>
        <w:t>five</w:t>
      </w:r>
      <w:r w:rsidRPr="006B143B">
        <w:rPr>
          <w:rFonts w:ascii="Cambria" w:eastAsia="Times New Roman" w:hAnsi="Cambria" w:cstheme="minorHAnsi"/>
          <w:b/>
          <w:spacing w:val="-11"/>
          <w:w w:val="105"/>
          <w:szCs w:val="24"/>
          <w:lang w:bidi="en-US"/>
        </w:rPr>
        <w:t xml:space="preserve"> </w:t>
      </w:r>
      <w:r w:rsidRPr="006B143B">
        <w:rPr>
          <w:rFonts w:ascii="Cambria" w:eastAsia="Times New Roman" w:hAnsi="Cambria" w:cstheme="minorHAnsi"/>
          <w:b/>
          <w:w w:val="105"/>
          <w:szCs w:val="24"/>
          <w:lang w:bidi="en-US"/>
        </w:rPr>
        <w:t xml:space="preserve">working days </w:t>
      </w:r>
      <w:r w:rsidRPr="006B143B">
        <w:rPr>
          <w:rFonts w:ascii="Cambria" w:eastAsia="Times New Roman" w:hAnsi="Cambria" w:cstheme="minorHAnsi"/>
          <w:w w:val="105"/>
          <w:szCs w:val="24"/>
          <w:lang w:bidi="en-US"/>
        </w:rPr>
        <w:t>after the use of the test article Section 4.5.3</w:t>
      </w:r>
      <w:r w:rsidRPr="006B143B">
        <w:rPr>
          <w:rFonts w:ascii="Cambria" w:eastAsia="Times New Roman" w:hAnsi="Cambria" w:cstheme="minorHAnsi"/>
          <w:spacing w:val="-18"/>
          <w:w w:val="105"/>
          <w:szCs w:val="24"/>
          <w:lang w:bidi="en-US"/>
        </w:rPr>
        <w:t xml:space="preserve"> </w:t>
      </w:r>
      <w:r w:rsidRPr="006B143B">
        <w:rPr>
          <w:rFonts w:ascii="Cambria" w:eastAsia="Times New Roman" w:hAnsi="Cambria" w:cstheme="minorHAnsi"/>
          <w:w w:val="105"/>
          <w:szCs w:val="24"/>
          <w:lang w:bidi="en-US"/>
        </w:rPr>
        <w:t>b)</w:t>
      </w:r>
    </w:p>
    <w:p w14:paraId="7E1587DA" w14:textId="77777777" w:rsidR="00FE04E8" w:rsidRPr="006B143B" w:rsidRDefault="00FE04E8" w:rsidP="00FE04E8">
      <w:pPr>
        <w:widowControl w:val="0"/>
        <w:autoSpaceDE w:val="0"/>
        <w:autoSpaceDN w:val="0"/>
        <w:spacing w:line="24" w:lineRule="atLeast"/>
        <w:jc w:val="both"/>
        <w:rPr>
          <w:rFonts w:ascii="Cambria" w:eastAsia="Times New Roman" w:hAnsi="Cambria" w:cstheme="minorHAnsi"/>
          <w:szCs w:val="24"/>
          <w:lang w:bidi="en-US"/>
        </w:rPr>
      </w:pPr>
    </w:p>
    <w:p w14:paraId="1B09C131"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6045262D"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57D68116"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5B2302AE"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692AB74F"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26C73355"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4309115B"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4DEBA2DB"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63D37A62"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430ADEBD"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130FCA09"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5FC678C9"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5C1495BA"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1CC0F131"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30F19881"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3F744D14"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6BBDC54A" w14:textId="77777777" w:rsidR="00FE04E8"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6A469D98"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3218B7D9" w14:textId="77777777" w:rsidR="00FE04E8" w:rsidRPr="006B143B" w:rsidRDefault="00FE04E8" w:rsidP="00FE04E8">
      <w:pPr>
        <w:widowControl w:val="0"/>
        <w:autoSpaceDE w:val="0"/>
        <w:autoSpaceDN w:val="0"/>
        <w:spacing w:line="24" w:lineRule="atLeast"/>
        <w:ind w:hanging="1152"/>
        <w:jc w:val="both"/>
        <w:rPr>
          <w:rFonts w:ascii="Cambria" w:eastAsia="Times New Roman" w:hAnsi="Cambria" w:cstheme="minorHAnsi"/>
          <w:b/>
          <w:szCs w:val="24"/>
          <w:lang w:bidi="en-US"/>
        </w:rPr>
      </w:pPr>
    </w:p>
    <w:p w14:paraId="7951BB52" w14:textId="77777777" w:rsidR="00FE04E8" w:rsidRDefault="00FE04E8" w:rsidP="00FE04E8">
      <w:pPr>
        <w:widowControl w:val="0"/>
        <w:autoSpaceDE w:val="0"/>
        <w:autoSpaceDN w:val="0"/>
        <w:spacing w:line="24" w:lineRule="atLeast"/>
        <w:ind w:left="1152" w:hanging="1152"/>
        <w:jc w:val="both"/>
        <w:rPr>
          <w:rFonts w:ascii="Cambria" w:eastAsia="Times New Roman" w:hAnsi="Cambria" w:cstheme="minorHAnsi"/>
          <w:b/>
          <w:szCs w:val="24"/>
          <w:lang w:bidi="en-US"/>
        </w:rPr>
      </w:pPr>
    </w:p>
    <w:p w14:paraId="4F8C4188" w14:textId="77777777" w:rsidR="00B0368E" w:rsidRDefault="007D5C68"/>
    <w:sectPr w:rsidR="00B036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D7DA" w14:textId="77777777" w:rsidR="007D5C68" w:rsidRDefault="007D5C68" w:rsidP="007D5C68">
      <w:pPr>
        <w:spacing w:after="0" w:line="240" w:lineRule="auto"/>
      </w:pPr>
      <w:r>
        <w:separator/>
      </w:r>
    </w:p>
  </w:endnote>
  <w:endnote w:type="continuationSeparator" w:id="0">
    <w:p w14:paraId="495E96D0" w14:textId="77777777" w:rsidR="007D5C68" w:rsidRDefault="007D5C68" w:rsidP="007D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C27A" w14:textId="77777777" w:rsidR="007D5C68" w:rsidRDefault="007D5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6241" w14:textId="4F3DEC4C" w:rsidR="007D5C68" w:rsidRDefault="007D5C68">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7AC1" w14:textId="77777777" w:rsidR="007D5C68" w:rsidRDefault="007D5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44EAF" w14:textId="77777777" w:rsidR="007D5C68" w:rsidRDefault="007D5C68" w:rsidP="007D5C68">
      <w:pPr>
        <w:spacing w:after="0" w:line="240" w:lineRule="auto"/>
      </w:pPr>
      <w:r>
        <w:separator/>
      </w:r>
    </w:p>
  </w:footnote>
  <w:footnote w:type="continuationSeparator" w:id="0">
    <w:p w14:paraId="1C209F64" w14:textId="77777777" w:rsidR="007D5C68" w:rsidRDefault="007D5C68" w:rsidP="007D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7ACE" w14:textId="77777777" w:rsidR="007D5C68" w:rsidRDefault="007D5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6B05A" w14:textId="64C278F1" w:rsidR="007D5C68" w:rsidRDefault="007D5C68">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8EB9" w14:textId="77777777" w:rsidR="007D5C68" w:rsidRDefault="007D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4429"/>
    <w:multiLevelType w:val="hybridMultilevel"/>
    <w:tmpl w:val="52DAD852"/>
    <w:lvl w:ilvl="0" w:tplc="57A4851E">
      <w:start w:val="1"/>
      <w:numFmt w:val="decimal"/>
      <w:lvlText w:val="%1."/>
      <w:lvlJc w:val="left"/>
      <w:pPr>
        <w:ind w:left="706" w:hanging="207"/>
      </w:pPr>
      <w:rPr>
        <w:rFonts w:ascii="Times New Roman" w:eastAsia="Times New Roman" w:hAnsi="Times New Roman" w:cs="Times New Roman" w:hint="default"/>
        <w:w w:val="103"/>
        <w:sz w:val="20"/>
        <w:szCs w:val="20"/>
        <w:lang w:val="en-US" w:eastAsia="en-US" w:bidi="en-US"/>
      </w:rPr>
    </w:lvl>
    <w:lvl w:ilvl="1" w:tplc="5938351E">
      <w:start w:val="1"/>
      <w:numFmt w:val="decimal"/>
      <w:lvlText w:val="%2)"/>
      <w:lvlJc w:val="left"/>
      <w:pPr>
        <w:ind w:left="959" w:hanging="339"/>
      </w:pPr>
      <w:rPr>
        <w:rFonts w:ascii="Times New Roman" w:eastAsia="Times New Roman" w:hAnsi="Times New Roman" w:cs="Times New Roman" w:hint="default"/>
        <w:spacing w:val="-1"/>
        <w:w w:val="103"/>
        <w:sz w:val="20"/>
        <w:szCs w:val="20"/>
        <w:lang w:val="en-US" w:eastAsia="en-US" w:bidi="en-US"/>
      </w:rPr>
    </w:lvl>
    <w:lvl w:ilvl="2" w:tplc="389E8374">
      <w:numFmt w:val="bullet"/>
      <w:lvlText w:val="•"/>
      <w:lvlJc w:val="left"/>
      <w:pPr>
        <w:ind w:left="1988" w:hanging="339"/>
      </w:pPr>
      <w:rPr>
        <w:rFonts w:hint="default"/>
        <w:lang w:val="en-US" w:eastAsia="en-US" w:bidi="en-US"/>
      </w:rPr>
    </w:lvl>
    <w:lvl w:ilvl="3" w:tplc="9384AD2E">
      <w:numFmt w:val="bullet"/>
      <w:lvlText w:val="•"/>
      <w:lvlJc w:val="left"/>
      <w:pPr>
        <w:ind w:left="3017" w:hanging="339"/>
      </w:pPr>
      <w:rPr>
        <w:rFonts w:hint="default"/>
        <w:lang w:val="en-US" w:eastAsia="en-US" w:bidi="en-US"/>
      </w:rPr>
    </w:lvl>
    <w:lvl w:ilvl="4" w:tplc="643CAA0A">
      <w:numFmt w:val="bullet"/>
      <w:lvlText w:val="•"/>
      <w:lvlJc w:val="left"/>
      <w:pPr>
        <w:ind w:left="4046" w:hanging="339"/>
      </w:pPr>
      <w:rPr>
        <w:rFonts w:hint="default"/>
        <w:lang w:val="en-US" w:eastAsia="en-US" w:bidi="en-US"/>
      </w:rPr>
    </w:lvl>
    <w:lvl w:ilvl="5" w:tplc="CFBC0B0E">
      <w:numFmt w:val="bullet"/>
      <w:lvlText w:val="•"/>
      <w:lvlJc w:val="left"/>
      <w:pPr>
        <w:ind w:left="5075" w:hanging="339"/>
      </w:pPr>
      <w:rPr>
        <w:rFonts w:hint="default"/>
        <w:lang w:val="en-US" w:eastAsia="en-US" w:bidi="en-US"/>
      </w:rPr>
    </w:lvl>
    <w:lvl w:ilvl="6" w:tplc="730026EE">
      <w:numFmt w:val="bullet"/>
      <w:lvlText w:val="•"/>
      <w:lvlJc w:val="left"/>
      <w:pPr>
        <w:ind w:left="6104" w:hanging="339"/>
      </w:pPr>
      <w:rPr>
        <w:rFonts w:hint="default"/>
        <w:lang w:val="en-US" w:eastAsia="en-US" w:bidi="en-US"/>
      </w:rPr>
    </w:lvl>
    <w:lvl w:ilvl="7" w:tplc="E0F499D6">
      <w:numFmt w:val="bullet"/>
      <w:lvlText w:val="•"/>
      <w:lvlJc w:val="left"/>
      <w:pPr>
        <w:ind w:left="7133" w:hanging="339"/>
      </w:pPr>
      <w:rPr>
        <w:rFonts w:hint="default"/>
        <w:lang w:val="en-US" w:eastAsia="en-US" w:bidi="en-US"/>
      </w:rPr>
    </w:lvl>
    <w:lvl w:ilvl="8" w:tplc="27F2BCD8">
      <w:numFmt w:val="bullet"/>
      <w:lvlText w:val="•"/>
      <w:lvlJc w:val="left"/>
      <w:pPr>
        <w:ind w:left="8162" w:hanging="339"/>
      </w:pPr>
      <w:rPr>
        <w:rFonts w:hint="default"/>
        <w:lang w:val="en-US" w:eastAsia="en-US" w:bidi="en-US"/>
      </w:rPr>
    </w:lvl>
  </w:abstractNum>
  <w:abstractNum w:abstractNumId="1" w15:restartNumberingAfterBreak="0">
    <w:nsid w:val="507145C3"/>
    <w:multiLevelType w:val="hybridMultilevel"/>
    <w:tmpl w:val="2564DB3A"/>
    <w:lvl w:ilvl="0" w:tplc="C986A0A8">
      <w:start w:val="1"/>
      <w:numFmt w:val="decimal"/>
      <w:lvlText w:val="%1)"/>
      <w:lvlJc w:val="left"/>
      <w:pPr>
        <w:ind w:left="959" w:hanging="339"/>
      </w:pPr>
      <w:rPr>
        <w:rFonts w:ascii="Times New Roman" w:eastAsia="Times New Roman" w:hAnsi="Times New Roman" w:cs="Times New Roman" w:hint="default"/>
        <w:spacing w:val="-1"/>
        <w:w w:val="103"/>
        <w:sz w:val="20"/>
        <w:szCs w:val="20"/>
        <w:lang w:val="en-US" w:eastAsia="en-US" w:bidi="en-US"/>
      </w:rPr>
    </w:lvl>
    <w:lvl w:ilvl="1" w:tplc="B4FA5CB8">
      <w:start w:val="1"/>
      <w:numFmt w:val="upperLetter"/>
      <w:lvlText w:val="%2)"/>
      <w:lvlJc w:val="left"/>
      <w:pPr>
        <w:ind w:left="1468" w:hanging="339"/>
      </w:pPr>
      <w:rPr>
        <w:rFonts w:ascii="Times New Roman" w:eastAsia="Times New Roman" w:hAnsi="Times New Roman" w:cs="Times New Roman" w:hint="default"/>
        <w:spacing w:val="-1"/>
        <w:w w:val="103"/>
        <w:sz w:val="20"/>
        <w:szCs w:val="20"/>
        <w:lang w:val="en-US" w:eastAsia="en-US" w:bidi="en-US"/>
      </w:rPr>
    </w:lvl>
    <w:lvl w:ilvl="2" w:tplc="69508486">
      <w:numFmt w:val="bullet"/>
      <w:lvlText w:val="•"/>
      <w:lvlJc w:val="left"/>
      <w:pPr>
        <w:ind w:left="2433" w:hanging="339"/>
      </w:pPr>
      <w:rPr>
        <w:rFonts w:hint="default"/>
        <w:lang w:val="en-US" w:eastAsia="en-US" w:bidi="en-US"/>
      </w:rPr>
    </w:lvl>
    <w:lvl w:ilvl="3" w:tplc="70223BEC">
      <w:numFmt w:val="bullet"/>
      <w:lvlText w:val="•"/>
      <w:lvlJc w:val="left"/>
      <w:pPr>
        <w:ind w:left="3406" w:hanging="339"/>
      </w:pPr>
      <w:rPr>
        <w:rFonts w:hint="default"/>
        <w:lang w:val="en-US" w:eastAsia="en-US" w:bidi="en-US"/>
      </w:rPr>
    </w:lvl>
    <w:lvl w:ilvl="4" w:tplc="1574513E">
      <w:numFmt w:val="bullet"/>
      <w:lvlText w:val="•"/>
      <w:lvlJc w:val="left"/>
      <w:pPr>
        <w:ind w:left="4380" w:hanging="339"/>
      </w:pPr>
      <w:rPr>
        <w:rFonts w:hint="default"/>
        <w:lang w:val="en-US" w:eastAsia="en-US" w:bidi="en-US"/>
      </w:rPr>
    </w:lvl>
    <w:lvl w:ilvl="5" w:tplc="32C0633C">
      <w:numFmt w:val="bullet"/>
      <w:lvlText w:val="•"/>
      <w:lvlJc w:val="left"/>
      <w:pPr>
        <w:ind w:left="5353" w:hanging="339"/>
      </w:pPr>
      <w:rPr>
        <w:rFonts w:hint="default"/>
        <w:lang w:val="en-US" w:eastAsia="en-US" w:bidi="en-US"/>
      </w:rPr>
    </w:lvl>
    <w:lvl w:ilvl="6" w:tplc="8AD221B2">
      <w:numFmt w:val="bullet"/>
      <w:lvlText w:val="•"/>
      <w:lvlJc w:val="left"/>
      <w:pPr>
        <w:ind w:left="6326" w:hanging="339"/>
      </w:pPr>
      <w:rPr>
        <w:rFonts w:hint="default"/>
        <w:lang w:val="en-US" w:eastAsia="en-US" w:bidi="en-US"/>
      </w:rPr>
    </w:lvl>
    <w:lvl w:ilvl="7" w:tplc="FD8EB420">
      <w:numFmt w:val="bullet"/>
      <w:lvlText w:val="•"/>
      <w:lvlJc w:val="left"/>
      <w:pPr>
        <w:ind w:left="7300" w:hanging="339"/>
      </w:pPr>
      <w:rPr>
        <w:rFonts w:hint="default"/>
        <w:lang w:val="en-US" w:eastAsia="en-US" w:bidi="en-US"/>
      </w:rPr>
    </w:lvl>
    <w:lvl w:ilvl="8" w:tplc="A13AD418">
      <w:numFmt w:val="bullet"/>
      <w:lvlText w:val="•"/>
      <w:lvlJc w:val="left"/>
      <w:pPr>
        <w:ind w:left="8273" w:hanging="339"/>
      </w:pPr>
      <w:rPr>
        <w:rFonts w:hint="default"/>
        <w:lang w:val="en-US" w:eastAsia="en-US" w:bidi="en-US"/>
      </w:rPr>
    </w:lvl>
  </w:abstractNum>
  <w:abstractNum w:abstractNumId="2" w15:restartNumberingAfterBreak="0">
    <w:nsid w:val="68F717AD"/>
    <w:multiLevelType w:val="hybridMultilevel"/>
    <w:tmpl w:val="379224F4"/>
    <w:lvl w:ilvl="0" w:tplc="1316747E">
      <w:start w:val="1"/>
      <w:numFmt w:val="lowerLetter"/>
      <w:lvlText w:val="%1)"/>
      <w:lvlJc w:val="left"/>
      <w:pPr>
        <w:ind w:left="1130" w:hanging="340"/>
      </w:pPr>
      <w:rPr>
        <w:rFonts w:ascii="Cambria" w:eastAsia="Times New Roman" w:hAnsi="Cambria" w:cs="Times New Roman" w:hint="default"/>
        <w:spacing w:val="-1"/>
        <w:w w:val="102"/>
        <w:sz w:val="24"/>
        <w:szCs w:val="22"/>
        <w:lang w:val="en-US" w:eastAsia="en-US" w:bidi="en-US"/>
      </w:rPr>
    </w:lvl>
    <w:lvl w:ilvl="1" w:tplc="B9FA4DD6">
      <w:start w:val="2"/>
      <w:numFmt w:val="lowerLetter"/>
      <w:lvlText w:val="%2)"/>
      <w:lvlJc w:val="left"/>
      <w:pPr>
        <w:ind w:left="1468" w:hanging="339"/>
      </w:pPr>
      <w:rPr>
        <w:rFonts w:ascii="Times New Roman" w:eastAsia="Times New Roman" w:hAnsi="Times New Roman" w:cs="Times New Roman" w:hint="default"/>
        <w:spacing w:val="-2"/>
        <w:w w:val="103"/>
        <w:sz w:val="20"/>
        <w:szCs w:val="20"/>
        <w:lang w:val="en-US" w:eastAsia="en-US" w:bidi="en-US"/>
      </w:rPr>
    </w:lvl>
    <w:lvl w:ilvl="2" w:tplc="96AAA19C">
      <w:numFmt w:val="bullet"/>
      <w:lvlText w:val="•"/>
      <w:lvlJc w:val="left"/>
      <w:pPr>
        <w:ind w:left="2433" w:hanging="339"/>
      </w:pPr>
      <w:rPr>
        <w:rFonts w:hint="default"/>
        <w:lang w:val="en-US" w:eastAsia="en-US" w:bidi="en-US"/>
      </w:rPr>
    </w:lvl>
    <w:lvl w:ilvl="3" w:tplc="8CA06FC4">
      <w:numFmt w:val="bullet"/>
      <w:lvlText w:val="•"/>
      <w:lvlJc w:val="left"/>
      <w:pPr>
        <w:ind w:left="3406" w:hanging="339"/>
      </w:pPr>
      <w:rPr>
        <w:rFonts w:hint="default"/>
        <w:lang w:val="en-US" w:eastAsia="en-US" w:bidi="en-US"/>
      </w:rPr>
    </w:lvl>
    <w:lvl w:ilvl="4" w:tplc="4E1C0492">
      <w:numFmt w:val="bullet"/>
      <w:lvlText w:val="•"/>
      <w:lvlJc w:val="left"/>
      <w:pPr>
        <w:ind w:left="4380" w:hanging="339"/>
      </w:pPr>
      <w:rPr>
        <w:rFonts w:hint="default"/>
        <w:lang w:val="en-US" w:eastAsia="en-US" w:bidi="en-US"/>
      </w:rPr>
    </w:lvl>
    <w:lvl w:ilvl="5" w:tplc="C1B83C92">
      <w:numFmt w:val="bullet"/>
      <w:lvlText w:val="•"/>
      <w:lvlJc w:val="left"/>
      <w:pPr>
        <w:ind w:left="5353" w:hanging="339"/>
      </w:pPr>
      <w:rPr>
        <w:rFonts w:hint="default"/>
        <w:lang w:val="en-US" w:eastAsia="en-US" w:bidi="en-US"/>
      </w:rPr>
    </w:lvl>
    <w:lvl w:ilvl="6" w:tplc="1B98FA16">
      <w:numFmt w:val="bullet"/>
      <w:lvlText w:val="•"/>
      <w:lvlJc w:val="left"/>
      <w:pPr>
        <w:ind w:left="6326" w:hanging="339"/>
      </w:pPr>
      <w:rPr>
        <w:rFonts w:hint="default"/>
        <w:lang w:val="en-US" w:eastAsia="en-US" w:bidi="en-US"/>
      </w:rPr>
    </w:lvl>
    <w:lvl w:ilvl="7" w:tplc="DD7ED534">
      <w:numFmt w:val="bullet"/>
      <w:lvlText w:val="•"/>
      <w:lvlJc w:val="left"/>
      <w:pPr>
        <w:ind w:left="7300" w:hanging="339"/>
      </w:pPr>
      <w:rPr>
        <w:rFonts w:hint="default"/>
        <w:lang w:val="en-US" w:eastAsia="en-US" w:bidi="en-US"/>
      </w:rPr>
    </w:lvl>
    <w:lvl w:ilvl="8" w:tplc="A84E5E86">
      <w:numFmt w:val="bullet"/>
      <w:lvlText w:val="•"/>
      <w:lvlJc w:val="left"/>
      <w:pPr>
        <w:ind w:left="8273" w:hanging="339"/>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8"/>
    <w:rsid w:val="007800E5"/>
    <w:rsid w:val="007D5C68"/>
    <w:rsid w:val="00DF1621"/>
    <w:rsid w:val="00FE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A725"/>
  <w15:chartTrackingRefBased/>
  <w15:docId w15:val="{44912559-89D7-41F7-94EA-FCD61671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E8"/>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68"/>
    <w:rPr>
      <w:rFonts w:ascii="Bahnschrift" w:hAnsi="Bahnschrift"/>
      <w:sz w:val="24"/>
      <w:lang w:val="en-US"/>
    </w:rPr>
  </w:style>
  <w:style w:type="paragraph" w:styleId="Footer">
    <w:name w:val="footer"/>
    <w:basedOn w:val="Normal"/>
    <w:link w:val="FooterChar"/>
    <w:uiPriority w:val="99"/>
    <w:unhideWhenUsed/>
    <w:rsid w:val="007D5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68"/>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1BD92-D223-48AD-9E04-EBC387D7D72E}">
  <ds:schemaRefs>
    <ds:schemaRef ds:uri="http://purl.org/dc/dcmitype/"/>
    <ds:schemaRef ds:uri="http://purl.org/dc/elements/1.1/"/>
    <ds:schemaRef ds:uri="http://schemas.microsoft.com/office/2006/metadata/properties"/>
    <ds:schemaRef ds:uri="443ad3ca-c47f-4260-8451-3739313ec124"/>
    <ds:schemaRef ds:uri="http://schemas.microsoft.com/office/infopath/2007/PartnerControls"/>
    <ds:schemaRef ds:uri="http://www.w3.org/XML/1998/namespace"/>
    <ds:schemaRef ds:uri="3b47edc1-8709-4030-891c-2e146fe7f2d1"/>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FBA4AD4-7E5B-440F-9A19-906719858FAE}">
  <ds:schemaRefs>
    <ds:schemaRef ds:uri="http://schemas.microsoft.com/sharepoint/v3/contenttype/forms"/>
  </ds:schemaRefs>
</ds:datastoreItem>
</file>

<file path=customXml/itemProps3.xml><?xml version="1.0" encoding="utf-8"?>
<ds:datastoreItem xmlns:ds="http://schemas.openxmlformats.org/officeDocument/2006/customXml" ds:itemID="{A7DE25FD-E191-4ABE-8AC8-71ADF430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2020-10-29T13:50:00Z</dcterms:created>
  <dcterms:modified xsi:type="dcterms:W3CDTF">2020-11-03T10:11:00Z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